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FD9E" w14:textId="1C15E4B3" w:rsidR="004B6B7D" w:rsidRPr="00CB29EA" w:rsidRDefault="004B6B7D">
      <w:pPr>
        <w:rPr>
          <w:lang w:val="lv-LV"/>
        </w:rPr>
      </w:pPr>
    </w:p>
    <w:tbl>
      <w:tblPr>
        <w:tblStyle w:val="TableGrid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1508"/>
        <w:gridCol w:w="1559"/>
        <w:gridCol w:w="1418"/>
      </w:tblGrid>
      <w:tr w:rsidR="006E2371" w:rsidRPr="00CB29EA" w14:paraId="2EDE2A97" w14:textId="77777777" w:rsidTr="000C54AF">
        <w:trPr>
          <w:trHeight w:val="1987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14:paraId="6F2BDEC5" w14:textId="77777777" w:rsidR="00452800" w:rsidRDefault="005F452E" w:rsidP="0068767F">
            <w:pPr>
              <w:rPr>
                <w:rFonts w:ascii="PT Serif" w:hAnsi="PT Serif"/>
                <w:color w:val="B27E54"/>
                <w:sz w:val="32"/>
                <w:szCs w:val="32"/>
                <w:lang w:val="lv-LV"/>
              </w:rPr>
            </w:pPr>
            <w:r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>Signet Bank AS</w:t>
            </w:r>
            <w:r w:rsidR="00952058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 xml:space="preserve"> </w:t>
            </w:r>
            <w:proofErr w:type="spellStart"/>
            <w:r w:rsidR="00452800"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>условия</w:t>
            </w:r>
            <w:proofErr w:type="spellEnd"/>
            <w:r w:rsidR="00452800"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 xml:space="preserve"> </w:t>
            </w:r>
          </w:p>
          <w:p w14:paraId="2D3ECB9C" w14:textId="2891746A" w:rsidR="005F452E" w:rsidRPr="00CB29EA" w:rsidRDefault="00452800" w:rsidP="0068767F">
            <w:pPr>
              <w:rPr>
                <w:rFonts w:ascii="PT Serif" w:hAnsi="PT Serif"/>
                <w:color w:val="B27E54"/>
                <w:sz w:val="32"/>
                <w:szCs w:val="32"/>
                <w:lang w:val="lv-LV"/>
              </w:rPr>
            </w:pPr>
            <w:proofErr w:type="spellStart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>договора</w:t>
            </w:r>
            <w:proofErr w:type="spellEnd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 xml:space="preserve"> </w:t>
            </w:r>
            <w:proofErr w:type="spellStart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>открытия</w:t>
            </w:r>
            <w:proofErr w:type="spellEnd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 xml:space="preserve"> и </w:t>
            </w:r>
            <w:proofErr w:type="spellStart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>обслуживания</w:t>
            </w:r>
            <w:proofErr w:type="spellEnd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 xml:space="preserve"> </w:t>
            </w:r>
            <w:proofErr w:type="spellStart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>расчетного</w:t>
            </w:r>
            <w:proofErr w:type="spellEnd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 xml:space="preserve"> </w:t>
            </w:r>
            <w:proofErr w:type="spellStart"/>
            <w:r w:rsidRPr="00452800">
              <w:rPr>
                <w:rFonts w:ascii="PT Serif" w:hAnsi="PT Serif"/>
                <w:color w:val="B27E54"/>
                <w:sz w:val="32"/>
                <w:szCs w:val="32"/>
                <w:lang w:val="lv-LV"/>
              </w:rPr>
              <w:t>счета</w:t>
            </w:r>
            <w:proofErr w:type="spellEnd"/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5F829" w14:textId="46E9C067" w:rsidR="006E2371" w:rsidRPr="00CB29EA" w:rsidRDefault="000C54AF" w:rsidP="006E2371">
            <w:pPr>
              <w:jc w:val="right"/>
              <w:rPr>
                <w:rFonts w:ascii="Times New Roman" w:hAnsi="Times New Roman"/>
                <w:lang w:val="lv-LV"/>
              </w:rPr>
            </w:pPr>
            <w:r w:rsidRPr="00CB29EA">
              <w:rPr>
                <w:rFonts w:ascii="Times New Roman" w:hAnsi="Times New Roman"/>
                <w:noProof/>
              </w:rPr>
              <w:drawing>
                <wp:inline distT="0" distB="0" distL="0" distR="0" wp14:anchorId="50CD43D5" wp14:editId="5F1C6546">
                  <wp:extent cx="1080000" cy="768800"/>
                  <wp:effectExtent l="0" t="0" r="0" b="0"/>
                  <wp:docPr id="5" name="Picture 5" descr="MAC:Users:momemtumriga:Dropbox:Clients:M2M:signet-log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:Users:momemtumriga:Dropbox:Clients:M2M:signet-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B87" w:rsidRPr="00755765" w14:paraId="613C728C" w14:textId="77777777" w:rsidTr="00C3761C">
        <w:trPr>
          <w:trHeight w:val="12056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57E61" w14:textId="4B32ABEF" w:rsidR="005273AE" w:rsidRPr="00DC7F3C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proofErr w:type="spellStart"/>
            <w:r w:rsidRPr="00DC7F3C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lv-LV"/>
              </w:rPr>
              <w:t>Предмет</w:t>
            </w:r>
            <w:proofErr w:type="spellEnd"/>
            <w:r w:rsidRPr="00DC7F3C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C7F3C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lv-LV"/>
              </w:rPr>
              <w:t>договора</w:t>
            </w:r>
            <w:proofErr w:type="spellEnd"/>
          </w:p>
          <w:p w14:paraId="79B1848E" w14:textId="3C3AEEF6" w:rsidR="00452800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Предметом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Договора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является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расчетный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счет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Клиента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в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далее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в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тексте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–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Счет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оказание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Клиенту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услуги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открытия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обслуживания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и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обеспечения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удаленного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доступа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к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Счету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посредством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r w:rsidR="005567A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Интернет-банка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Клиент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обязуется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своевременно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и в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полном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объеме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оплачивать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Банку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вознаграждение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за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оказание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вышеупомянутых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услуг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в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размере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установленном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Тарифами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.</w:t>
            </w:r>
          </w:p>
          <w:p w14:paraId="3AA196C5" w14:textId="591676B5" w:rsidR="004D33D2" w:rsidRPr="000B5A3D" w:rsidRDefault="00452800" w:rsidP="000B5A3D">
            <w:pPr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Отношения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и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Клиента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вытекающие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из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Договора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регулируют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данный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Договор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Общие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условия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сделок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тарифы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а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также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другие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нормативные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документы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и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нормативные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акты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латвийской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Республики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.</w:t>
            </w:r>
          </w:p>
          <w:p w14:paraId="4DD4D4BF" w14:textId="43E41D0B" w:rsidR="005567A9" w:rsidRPr="000B5A3D" w:rsidRDefault="005567A9" w:rsidP="00DC7F3C">
            <w:pPr>
              <w:numPr>
                <w:ilvl w:val="1"/>
                <w:numId w:val="3"/>
              </w:numPr>
              <w:jc w:val="both"/>
              <w:rPr>
                <w:rFonts w:ascii="PT Serif" w:hAnsi="PT Serif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sz w:val="20"/>
                <w:szCs w:val="20"/>
                <w:lang w:val="ru-RU"/>
              </w:rPr>
              <w:t>Все использующиеся в настоящих Условиях договора термины используются в значении, предусмотренном Общими банковскими условиями, кроме случаев, предусмотренных в Условиях договора.</w:t>
            </w:r>
          </w:p>
          <w:p w14:paraId="54CB11EE" w14:textId="77777777" w:rsidR="00452800" w:rsidRPr="000B5A3D" w:rsidRDefault="00452800" w:rsidP="000B5A3D">
            <w:pPr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44EDCE17" w14:textId="3EF4759A" w:rsidR="00952058" w:rsidRPr="000B5A3D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  <w:proofErr w:type="spellStart"/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</w:rPr>
              <w:t>Блокировка</w:t>
            </w:r>
            <w:proofErr w:type="spellEnd"/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</w:rPr>
              <w:t>счета</w:t>
            </w:r>
            <w:proofErr w:type="spellEnd"/>
          </w:p>
          <w:p w14:paraId="096ABAA7" w14:textId="77777777" w:rsidR="00452800" w:rsidRPr="000B5A3D" w:rsidRDefault="00452800" w:rsidP="000B5A3D">
            <w:pPr>
              <w:ind w:left="391" w:hanging="391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2.1. 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вправе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воздержаться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от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совершения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сделок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с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находящимися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на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счете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денежными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средствами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приостановить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одну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и/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или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больше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и/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или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все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дебетные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сделки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а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также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по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усмотрению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все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кредитные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сделки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),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не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принимая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на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себя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никакой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ответственности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согласно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:</w:t>
            </w:r>
          </w:p>
          <w:p w14:paraId="5E873DFB" w14:textId="77777777" w:rsidR="00452800" w:rsidRPr="000B5A3D" w:rsidRDefault="00452800" w:rsidP="000B5A3D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2.1.1.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Требованиям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Общих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условий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сделок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Банка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которые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устанавливают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воздержание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от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совершения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сделки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или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завершение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деловых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отношений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;</w:t>
            </w:r>
          </w:p>
          <w:p w14:paraId="0561B18F" w14:textId="77777777" w:rsidR="00452800" w:rsidRPr="000B5A3D" w:rsidRDefault="00452800" w:rsidP="000B5A3D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2.1.2. В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случаях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установленных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нормативными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актами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Латвийской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Республики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.</w:t>
            </w:r>
          </w:p>
          <w:p w14:paraId="43505802" w14:textId="77777777" w:rsidR="00452800" w:rsidRPr="000B5A3D" w:rsidRDefault="00452800" w:rsidP="000B5A3D">
            <w:p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1066FB4A" w14:textId="77777777" w:rsidR="00452800" w:rsidRPr="000B5A3D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proofErr w:type="spellStart"/>
            <w:r w:rsidRPr="000B5A3D"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  <w:t>Закрытие</w:t>
            </w:r>
            <w:proofErr w:type="spellEnd"/>
            <w:r w:rsidRPr="000B5A3D"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B5A3D"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  <w:t>счета</w:t>
            </w:r>
            <w:proofErr w:type="spellEnd"/>
          </w:p>
          <w:p w14:paraId="37B45F2A" w14:textId="77777777" w:rsidR="00452800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Закрытие счета происходит согласно условиям Договора, нормативных актов латвийской Республики, Общих условий сделок Банка, и другим соответствующими нормативным актам Банка. </w:t>
            </w:r>
          </w:p>
          <w:p w14:paraId="28FCCED6" w14:textId="77777777" w:rsidR="00452800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В случае, если Клиент не выполняет свои обязательства перед Банком, Банк вправе задержать предусмотренный к возврату остаток денежных средств до момента, пока Клиент в полном объеме исполнит все свои обязательства перед Банком. </w:t>
            </w:r>
          </w:p>
          <w:p w14:paraId="5D321D99" w14:textId="53571036" w:rsidR="003C06B3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Клиент также вправе в любое время сообщить о закрытии Счета. Банк закрывает счет в течение одного месяца со дня, когда было получено сообщение Клиента, с условием, что Клиент выполнил все свои обязательства перед Банком.</w:t>
            </w:r>
          </w:p>
          <w:p w14:paraId="4E15B7B7" w14:textId="77777777" w:rsidR="003C06B3" w:rsidRPr="000B5A3D" w:rsidRDefault="003C06B3" w:rsidP="000B5A3D">
            <w:pPr>
              <w:pStyle w:val="ListParagraph"/>
              <w:ind w:left="390"/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</w:p>
          <w:p w14:paraId="6410C809" w14:textId="77777777" w:rsidR="003C06B3" w:rsidRPr="000B5A3D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ru-RU"/>
              </w:rPr>
              <w:t xml:space="preserve">Удаленный доступ к счету </w:t>
            </w:r>
          </w:p>
          <w:p w14:paraId="24045ED0" w14:textId="740093B0" w:rsidR="003C06B3" w:rsidRPr="000B5A3D" w:rsidRDefault="003C06B3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Термины: </w:t>
            </w:r>
          </w:p>
          <w:p w14:paraId="552EC5A4" w14:textId="31C01F41" w:rsidR="00D048E0" w:rsidRPr="000B5A3D" w:rsidRDefault="00D048E0" w:rsidP="000B5A3D">
            <w:pPr>
              <w:pStyle w:val="ListParagraph"/>
              <w:numPr>
                <w:ilvl w:val="2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Пользователь – Клиент или в Договоре указанный Представитель Клиента, кому Клиент предоставляет право использовать Интернет-банк от своего имени.</w:t>
            </w:r>
          </w:p>
          <w:p w14:paraId="53C759DE" w14:textId="7E607EFA" w:rsidR="00D048E0" w:rsidRPr="000B5A3D" w:rsidRDefault="00D048E0" w:rsidP="000B5A3D">
            <w:pPr>
              <w:pStyle w:val="ListParagraph"/>
              <w:numPr>
                <w:ilvl w:val="2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Имя пользователя – уникальная комбинация чисел, идентифицирующая Пользователя, которую Пользователь использует для подключения в Интернет-банк.</w:t>
            </w:r>
          </w:p>
          <w:p w14:paraId="56F43BAC" w14:textId="14EF6B2C" w:rsidR="00D048E0" w:rsidRPr="000B5A3D" w:rsidRDefault="00D048E0" w:rsidP="000B5A3D">
            <w:pPr>
              <w:pStyle w:val="ListParagraph"/>
              <w:numPr>
                <w:ilvl w:val="2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Пароль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для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Интернет-банк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а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– придуманная Клиентом (не известная Банку) комбинация символов (цифр и букв), вводя которую вместе с Именем пользователя, Клиент подключается в Интернет-банк.</w:t>
            </w:r>
          </w:p>
          <w:p w14:paraId="58E147EB" w14:textId="3D9E52EA" w:rsidR="003C06B3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Посредством </w:t>
            </w:r>
            <w:r w:rsidR="00D048E0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Интернет-банка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у Клиента есть возможность контролировать свой Счет и управлять своим Счетом (производить платежи, смотреть </w:t>
            </w:r>
            <w:r w:rsidR="003C06B3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остаток Счета, смотреть выписки 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сделанных операций и так далее). </w:t>
            </w:r>
          </w:p>
          <w:p w14:paraId="2922DD64" w14:textId="2FC082BB" w:rsidR="003C06B3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Чтобы Клиент мог подключить</w:t>
            </w:r>
            <w:r w:rsidR="00295AB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ся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к </w:t>
            </w:r>
            <w:r w:rsidR="00295AB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Интернет-банку, 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Банк, после подписания Договора выдает Клиенту, а Клиент получает </w:t>
            </w:r>
            <w:r w:rsidR="00295AB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устройство </w:t>
            </w:r>
            <w:proofErr w:type="spellStart"/>
            <w:r w:rsidRPr="000B5A3D">
              <w:rPr>
                <w:rFonts w:ascii="PT Serif" w:hAnsi="PT Serif"/>
                <w:color w:val="282624"/>
                <w:sz w:val="20"/>
                <w:szCs w:val="20"/>
              </w:rPr>
              <w:t>Digipass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</w:t>
            </w:r>
            <w:r w:rsidR="00295AB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или нераспечатанный конверт с кодом активации мобильного приложения </w:t>
            </w:r>
            <w:proofErr w:type="spellStart"/>
            <w:r w:rsidR="00295AB8" w:rsidRPr="000B5A3D">
              <w:rPr>
                <w:rFonts w:ascii="PT Serif" w:hAnsi="PT Serif"/>
                <w:color w:val="282624"/>
                <w:sz w:val="20"/>
                <w:szCs w:val="20"/>
              </w:rPr>
              <w:t>Digipass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. </w:t>
            </w:r>
          </w:p>
          <w:p w14:paraId="2089A8D9" w14:textId="3B9C3A8E" w:rsidR="00295AB8" w:rsidRPr="000B5A3D" w:rsidRDefault="00295AB8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Подключение дополнительного Счета Клиента к Интернет-банку производится на основании письменного заявления Клиента, которое Клиент может подать лично или используя Интернет-банк. </w:t>
            </w:r>
          </w:p>
          <w:p w14:paraId="6EBE6295" w14:textId="11A75620" w:rsidR="00295AB8" w:rsidRPr="000B5A3D" w:rsidRDefault="00295AB8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lastRenderedPageBreak/>
              <w:t xml:space="preserve">Стороны признают, что распоряжения Клиента, переданные посредством Интернет-банка, если они подготовлены и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отправлены,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используя правильное Имя пользователя, Пароль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для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Интернет-банка и Электронную подпись, имеют одинаковую юридическую силу как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документы,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подписанные собственноручно </w:t>
            </w:r>
            <w:r w:rsidR="00980B8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Клиентом,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 Клиент не может их оспаривать. </w:t>
            </w:r>
          </w:p>
          <w:p w14:paraId="3D5ECEBF" w14:textId="6C818098" w:rsidR="003C06B3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sz w:val="20"/>
                <w:szCs w:val="20"/>
                <w:lang w:val="ru-RU"/>
              </w:rPr>
              <w:t xml:space="preserve">Банк вправе без предварительного уведомления Клиента прервать оказание услуги </w:t>
            </w:r>
            <w:r w:rsidR="00FE4C7F" w:rsidRPr="000B5A3D">
              <w:rPr>
                <w:rFonts w:ascii="PT Serif" w:hAnsi="PT Serif"/>
                <w:sz w:val="20"/>
                <w:szCs w:val="20"/>
                <w:lang w:val="ru-RU"/>
              </w:rPr>
              <w:t>Интернет-банк</w:t>
            </w:r>
            <w:r w:rsidRPr="000B5A3D">
              <w:rPr>
                <w:rFonts w:ascii="PT Serif" w:hAnsi="PT Serif"/>
                <w:sz w:val="20"/>
                <w:szCs w:val="20"/>
                <w:lang w:val="ru-RU"/>
              </w:rPr>
              <w:t xml:space="preserve"> Клиенту в случа</w:t>
            </w:r>
            <w:r w:rsidR="00FE4C7F" w:rsidRPr="000B5A3D">
              <w:rPr>
                <w:rFonts w:ascii="PT Serif" w:hAnsi="PT Serif"/>
                <w:sz w:val="20"/>
                <w:szCs w:val="20"/>
                <w:lang w:val="ru-RU"/>
              </w:rPr>
              <w:t>е, если</w:t>
            </w:r>
            <w:r w:rsidRPr="000B5A3D">
              <w:rPr>
                <w:rFonts w:ascii="PT Serif" w:hAnsi="PT Serif"/>
                <w:sz w:val="20"/>
                <w:szCs w:val="20"/>
                <w:lang w:val="ru-RU"/>
              </w:rPr>
              <w:t xml:space="preserve">: </w:t>
            </w:r>
          </w:p>
          <w:p w14:paraId="484B86F0" w14:textId="131BD443" w:rsidR="003C06B3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4.</w:t>
            </w:r>
            <w:r w:rsidR="00980B8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6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.1. Клиент нарушает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заключенные между Клиентом и Банком 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условия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деловых документов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; </w:t>
            </w:r>
          </w:p>
          <w:p w14:paraId="33B11C59" w14:textId="2DAAC38A" w:rsidR="003C06B3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4.</w:t>
            </w:r>
            <w:r w:rsidR="00980B8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6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.2. В процессе оказания услуги возникают технические проблемы (до их устранения); </w:t>
            </w:r>
          </w:p>
          <w:p w14:paraId="1AB1CB8E" w14:textId="2B71C907" w:rsidR="003C06B3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4.</w:t>
            </w:r>
            <w:r w:rsidR="00980B8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6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.3. Происходит замена, обслуживание и так далее оборудования и/или программного обеспечения, которое используется Банком для оказания услуги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(на время, которое необходимо для замены, обслуживания и т.д.); </w:t>
            </w:r>
          </w:p>
          <w:p w14:paraId="36005E65" w14:textId="5FEB432C" w:rsidR="003C06B3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4.</w:t>
            </w:r>
            <w:r w:rsidR="00980B8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6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.</w:t>
            </w:r>
            <w:r w:rsidR="00980B8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4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. Закрывается Счет Клиента, управление которым осуществлялось через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; </w:t>
            </w:r>
          </w:p>
          <w:p w14:paraId="2B9204D9" w14:textId="6B867887" w:rsidR="003C06B3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4.</w:t>
            </w:r>
            <w:r w:rsidR="00980B8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6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.</w:t>
            </w:r>
            <w:r w:rsidR="00980B89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5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. Банк прекращает оказание услуги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. </w:t>
            </w:r>
          </w:p>
          <w:p w14:paraId="668D822E" w14:textId="5BC0565D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Банк обязан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к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ачественно и своевременно оказывать Клиенту услугу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согласно Договору, Общим условиям сделок Банка, Тарифам и другим нормативным актам Банка. </w:t>
            </w:r>
          </w:p>
          <w:p w14:paraId="270385AF" w14:textId="77777777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Клиент обязан: </w:t>
            </w:r>
          </w:p>
          <w:p w14:paraId="2D692AFB" w14:textId="212057D5" w:rsidR="00383948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4.8.1. Соблюдать условия Договора, Общим условий сделок Банка, и другие нормативные акты Банка и Латвийской Республики; </w:t>
            </w:r>
          </w:p>
          <w:p w14:paraId="190F1DAA" w14:textId="68C8EC70" w:rsidR="00383948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4.8.2. Обеспечивать сохранность и конфиденциальность своего Имени пользователя, Пароля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для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Интернет-банка и Электронной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подписи, а также другой информации, которая необходима для доступа и выполнения операций в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Интернет-банке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; </w:t>
            </w:r>
          </w:p>
          <w:p w14:paraId="186AB45C" w14:textId="3F661F98" w:rsidR="00383948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4.8.3. Незамедлительно предупредить Банк в случае, если Клиенту стало известно о попадании Имени пользователя,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П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ароля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для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Интернет-банка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 </w:t>
            </w:r>
            <w:r w:rsidR="00FE4C7F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Электронной 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подписи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, а также </w:t>
            </w:r>
            <w:proofErr w:type="spellStart"/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lv-LV"/>
              </w:rPr>
              <w:t>Digipass</w:t>
            </w:r>
            <w:proofErr w:type="spellEnd"/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к третьим лицам; </w:t>
            </w:r>
          </w:p>
          <w:p w14:paraId="68FAC0EF" w14:textId="4D0771B8" w:rsidR="00383948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4.8.4. Соблюдать необходимые меры безопасности, используя услугу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, не передавать другим лицам доступ к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услуге Интернет-банк.</w:t>
            </w:r>
          </w:p>
          <w:p w14:paraId="5B15ADF6" w14:textId="67A9219A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Банк не отвечает за некачественное предоставление услуги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Клиенту, если причиной явились перебои в работе компьютерной или интернет сети Банка, а также за качество интернет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а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у Клиента, за кражу, порчу или пропажу конфиденциальной информации Клиента в любом виде, которая произошла в результате противоправных действий третьих лиц, в том числе, от действия вредоносных программ, находящихся в устройствах Клиента, используемых Клиентом для доступа к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Интернет-банку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, а также за все повлеченные упомянутым последствия. </w:t>
            </w:r>
          </w:p>
          <w:p w14:paraId="5D92C5EB" w14:textId="77777777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Клиент ответственен за: </w:t>
            </w:r>
          </w:p>
          <w:p w14:paraId="066576CB" w14:textId="783ED126" w:rsidR="00383948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4.10.1. Все действия, произведённые посредством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Интернет-банка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, при использовании Имени пользователя,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П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ароля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для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Интернет-банка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Электронной 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подписи Клиента; </w:t>
            </w:r>
          </w:p>
          <w:p w14:paraId="09F58424" w14:textId="007C8575" w:rsidR="002115C1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4.10.2. Обеспечение сохранности и конфиденциальности Имени пользователя,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П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ароля </w:t>
            </w:r>
            <w:r w:rsidR="002F59BB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для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Интернет-банка 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и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Электронной 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подписи Клиента, а также другой информации, необходимой для доступа и выполнения операций в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Интернет-банке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, а также за убытки, которые возникнут или могут возникнуть у Банка, из-за несоблюдения Клиентом требования обеспечения сохранности и конфиденциальности в отношении упомянутой информации; </w:t>
            </w:r>
          </w:p>
          <w:p w14:paraId="4442E99B" w14:textId="6FDB659E" w:rsidR="00383948" w:rsidRPr="000B5A3D" w:rsidRDefault="00452800" w:rsidP="000B5A3D">
            <w:pPr>
              <w:pStyle w:val="ListParagraph"/>
              <w:ind w:left="390"/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4.10.3. Несанкционированный доступ третьих лиц к услуге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Интернет-банк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намеренно или вследствие невнимательности Клиента, а также за все последствия, возникшие вследствие несанкционированного доступа. </w:t>
            </w:r>
          </w:p>
          <w:p w14:paraId="05D62A53" w14:textId="77777777" w:rsidR="00383948" w:rsidRPr="000B5A3D" w:rsidRDefault="00383948" w:rsidP="000B5A3D">
            <w:p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</w:p>
          <w:p w14:paraId="503B370C" w14:textId="77777777" w:rsidR="00383948" w:rsidRPr="000B5A3D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ru-RU"/>
              </w:rPr>
              <w:t xml:space="preserve">Конфиденциальность </w:t>
            </w:r>
          </w:p>
          <w:p w14:paraId="2A60FA7D" w14:textId="36922085" w:rsidR="00452800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Банк гарантирует и обеспечивает неразглашение информации о Клиенте и его сделках третьим лицам, за исключением случаев, установленных Общими условиями сделок Банка и нормативных актов латвийской Республики. </w:t>
            </w:r>
          </w:p>
          <w:p w14:paraId="1EF6695B" w14:textId="77777777" w:rsidR="00383948" w:rsidRPr="000B5A3D" w:rsidRDefault="00383948" w:rsidP="000B5A3D">
            <w:pPr>
              <w:pStyle w:val="ListParagraph"/>
              <w:ind w:left="390"/>
              <w:jc w:val="both"/>
              <w:rPr>
                <w:rFonts w:ascii="PT Serif" w:hAnsi="PT Serif"/>
                <w:b/>
                <w:color w:val="282624"/>
                <w:sz w:val="20"/>
                <w:szCs w:val="20"/>
                <w:lang w:val="lv-LV"/>
              </w:rPr>
            </w:pPr>
          </w:p>
          <w:p w14:paraId="5A5F9386" w14:textId="55CD3880" w:rsidR="00383948" w:rsidRPr="000B5A3D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ru-RU"/>
              </w:rPr>
              <w:t xml:space="preserve">Использование данных Клиента </w:t>
            </w:r>
          </w:p>
          <w:p w14:paraId="078F7484" w14:textId="0CBACE7A" w:rsidR="00452800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Предоставленную Клиентом информацию Банк вправе использовать в объеме и рамках, установленных Общими условиями сделок Банка и нормативным</w:t>
            </w:r>
            <w:r w:rsidR="0038394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 актами Латвийской Республики.</w:t>
            </w:r>
          </w:p>
          <w:p w14:paraId="758FDADC" w14:textId="77777777" w:rsidR="00383948" w:rsidRPr="000B5A3D" w:rsidRDefault="00383948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</w:p>
          <w:p w14:paraId="2DFA1320" w14:textId="77310DC8" w:rsidR="00383948" w:rsidRPr="000B5A3D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ru-RU"/>
              </w:rPr>
              <w:t xml:space="preserve">Вступление Договора в силу и срок действия </w:t>
            </w:r>
          </w:p>
          <w:p w14:paraId="59632514" w14:textId="771A0FC7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Договор вступает в силу в дату его подписания и з</w:t>
            </w:r>
            <w:r w:rsidR="0038394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аключен на неопределенный срок.</w:t>
            </w:r>
          </w:p>
          <w:p w14:paraId="3DDC36E2" w14:textId="7C32ED4B" w:rsidR="00383948" w:rsidRDefault="00383948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</w:p>
          <w:p w14:paraId="48C656BF" w14:textId="7BFACB01" w:rsidR="00755765" w:rsidRDefault="00755765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</w:p>
          <w:p w14:paraId="5F4ADB99" w14:textId="77777777" w:rsidR="00755765" w:rsidRPr="000B5A3D" w:rsidRDefault="00755765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</w:p>
          <w:p w14:paraId="18D9DA10" w14:textId="77777777" w:rsidR="00383948" w:rsidRPr="000B5A3D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ru-RU"/>
              </w:rPr>
              <w:lastRenderedPageBreak/>
              <w:t xml:space="preserve">Порядок прекращения Договора </w:t>
            </w:r>
          </w:p>
          <w:p w14:paraId="59268997" w14:textId="77777777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Банк и Клиент вправе прекратить Договор соглас</w:t>
            </w:r>
            <w:r w:rsidR="0038394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но Общим условиям сделок Банка.</w:t>
            </w:r>
          </w:p>
          <w:p w14:paraId="11D4C960" w14:textId="2DDC6924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Одновременно с прекращением Договора Банк прекращает оказание Клиенту других услуг, связанных с обслуживанием Счета. Прекращение отдельных оказываемых Банком услуг устанавливает договор о предоставлении соответствующей услуг</w:t>
            </w:r>
            <w:r w:rsidR="0038394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и и Общие условия сделок Банка.</w:t>
            </w:r>
          </w:p>
          <w:p w14:paraId="7BBA4F75" w14:textId="13FF913E" w:rsidR="00980B89" w:rsidRPr="000B5A3D" w:rsidRDefault="00980B89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Порядок прекращения оказания определенных услуг Банка устанавливает договор о получении соответствующих услуг и Общими условиями сделок Банка.</w:t>
            </w:r>
          </w:p>
          <w:p w14:paraId="28338CA2" w14:textId="77777777" w:rsidR="00383948" w:rsidRPr="000B5A3D" w:rsidRDefault="00383948" w:rsidP="000B5A3D">
            <w:pPr>
              <w:pStyle w:val="ListParagraph"/>
              <w:ind w:left="390"/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</w:p>
          <w:p w14:paraId="79A0BB11" w14:textId="77777777" w:rsidR="00383948" w:rsidRPr="000B5A3D" w:rsidRDefault="00452800" w:rsidP="000B5A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b/>
                <w:bCs/>
                <w:color w:val="282624"/>
                <w:sz w:val="20"/>
                <w:szCs w:val="20"/>
                <w:lang w:val="ru-RU"/>
              </w:rPr>
              <w:t xml:space="preserve">Заключительные положения </w:t>
            </w:r>
          </w:p>
          <w:p w14:paraId="2502EA71" w14:textId="4288245B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Все термины, применяемые в настоящих Условиях (Правилах) используются </w:t>
            </w:r>
            <w:r w:rsidR="00383948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>в значении,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 установленном Общими условиями сделок Банка, насколько настоящими правилами не установлено иное. </w:t>
            </w:r>
          </w:p>
          <w:p w14:paraId="4C10A663" w14:textId="77777777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Стороны обязуются любые споры, разногласия и претензии, вытекающие из данного Договора, либо его прекращения, расторжения либо недействительности решать путем взаимных переговоров. </w:t>
            </w:r>
          </w:p>
          <w:p w14:paraId="23B87B53" w14:textId="77777777" w:rsidR="00383948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В случае недостижения Сторонами мирового соглашения путем переговоров и Клиент является физическим лицом, спор передается на рассмотрение в суд Латвийской Республики. </w:t>
            </w:r>
          </w:p>
          <w:p w14:paraId="6D3273A6" w14:textId="4ED65768" w:rsidR="00452800" w:rsidRPr="000B5A3D" w:rsidRDefault="00452800" w:rsidP="000B5A3D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В случае недостижения Сторонами мирового соглашения путем переговоров и Клиент является бизнес Клиентом, спор передается </w:t>
            </w:r>
            <w:r w:rsidR="002115C1"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по желанию Клиента на рассмотрение в суд Латвийской Республики или </w:t>
            </w:r>
            <w:r w:rsidRPr="000B5A3D">
              <w:rPr>
                <w:rFonts w:ascii="PT Serif" w:hAnsi="PT Serif"/>
                <w:color w:val="282624"/>
                <w:sz w:val="20"/>
                <w:szCs w:val="20"/>
                <w:lang w:val="ru-RU"/>
              </w:rPr>
              <w:t xml:space="preserve">в третейский суд Ассоциации Коммерческих банков в Риге, согласно регламенту третейского суда, в составе одного судьи, о назначении которого Стороны просят председателя третейского суда. Язык рассмотрения – латышский. Стороны согласны с тем, что решение третейского суд Ассоциации Коммерческих банков является окончательным и обжалованию не подлежит. </w:t>
            </w:r>
          </w:p>
          <w:p w14:paraId="6938E31D" w14:textId="18A73B93" w:rsidR="00E6201C" w:rsidRPr="000B5A3D" w:rsidRDefault="00E6201C" w:rsidP="000B5A3D">
            <w:pPr>
              <w:jc w:val="both"/>
              <w:rPr>
                <w:rFonts w:ascii="PT Serif" w:hAnsi="PT Serif"/>
                <w:color w:val="282624"/>
                <w:sz w:val="20"/>
                <w:szCs w:val="20"/>
                <w:lang w:val="ru-RU"/>
              </w:rPr>
            </w:pPr>
          </w:p>
          <w:p w14:paraId="62A53DA8" w14:textId="6CD5EF84" w:rsidR="00E6201C" w:rsidRPr="000B5A3D" w:rsidRDefault="00E6201C" w:rsidP="000B5A3D">
            <w:p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02A10EFA" w14:textId="4862BD42" w:rsidR="00E6201C" w:rsidRPr="000B5A3D" w:rsidRDefault="00E6201C" w:rsidP="000B5A3D">
            <w:p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2C5FAE97" w14:textId="4CD1C449" w:rsidR="00C44003" w:rsidRPr="000B5A3D" w:rsidRDefault="00C44003" w:rsidP="000B5A3D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7999D112" w14:textId="77777777" w:rsidR="00163BAD" w:rsidRPr="000B5A3D" w:rsidRDefault="00163BAD" w:rsidP="000B5A3D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40837808" w14:textId="77777777" w:rsidR="00952058" w:rsidRPr="000B5A3D" w:rsidRDefault="00952058" w:rsidP="000B5A3D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1FD3CBBC" w14:textId="0628B99C" w:rsidR="00383948" w:rsidRPr="000B5A3D" w:rsidRDefault="00383948" w:rsidP="000B5A3D">
            <w:p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6019E14B" w14:textId="77777777" w:rsidR="00952058" w:rsidRPr="000B5A3D" w:rsidRDefault="00952058" w:rsidP="000B5A3D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0C5F04A3" w14:textId="77777777" w:rsidR="00952058" w:rsidRPr="000B5A3D" w:rsidRDefault="00952058" w:rsidP="000B5A3D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5C75A217" w14:textId="6C1F40D4" w:rsidR="00952058" w:rsidRPr="000B5A3D" w:rsidRDefault="00952058" w:rsidP="000B5A3D">
            <w:p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7604419E" w14:textId="77777777" w:rsidR="00952058" w:rsidRDefault="00952058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3284C9A2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1FAC9B48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65A5612E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27EF2B44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5BDB20D6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6E471F2A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056D940F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3C395AE2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3034BB14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14ACDA6F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50597B47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5D31B328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28C27F14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2336ACD8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1C9D6270" w14:textId="77777777" w:rsidR="00DC7F3C" w:rsidRDefault="00DC7F3C" w:rsidP="00755765">
            <w:p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  <w:bookmarkStart w:id="0" w:name="_GoBack"/>
            <w:bookmarkEnd w:id="0"/>
          </w:p>
          <w:p w14:paraId="1B9EA09F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132CB180" w14:textId="77777777" w:rsidR="00DC7F3C" w:rsidRDefault="00DC7F3C" w:rsidP="00DC7F3C">
            <w:pPr>
              <w:ind w:left="425"/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  <w:p w14:paraId="1CB4DAD9" w14:textId="70A53C3B" w:rsidR="00DC7F3C" w:rsidRPr="00DC7F3C" w:rsidRDefault="00DC7F3C" w:rsidP="000B5A3D">
            <w:pPr>
              <w:jc w:val="both"/>
              <w:rPr>
                <w:rFonts w:ascii="PT Serif" w:hAnsi="PT Serif"/>
                <w:color w:val="282624"/>
                <w:sz w:val="20"/>
                <w:szCs w:val="20"/>
                <w:lang w:val="lv-LV"/>
              </w:rPr>
            </w:pPr>
          </w:p>
        </w:tc>
      </w:tr>
      <w:tr w:rsidR="007E3B95" w:rsidRPr="00CB29EA" w14:paraId="0D1E05DF" w14:textId="77777777" w:rsidTr="00C12028">
        <w:trPr>
          <w:trHeight w:val="982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14:paraId="3B4F3DCD" w14:textId="77777777" w:rsidR="007E3B95" w:rsidRPr="007E6465" w:rsidRDefault="007E3B95">
            <w:pPr>
              <w:rPr>
                <w:rFonts w:ascii="PT Serif" w:hAnsi="PT Serif"/>
                <w:sz w:val="22"/>
                <w:szCs w:val="22"/>
                <w:lang w:val="lv-LV"/>
              </w:rPr>
            </w:pPr>
          </w:p>
          <w:p w14:paraId="67035C25" w14:textId="3D1B6CC1" w:rsidR="007E6465" w:rsidRPr="007E6465" w:rsidRDefault="007E6465">
            <w:pPr>
              <w:rPr>
                <w:rFonts w:ascii="PT Serif" w:hAnsi="PT Serif" w:cstheme="majorHAnsi"/>
                <w:sz w:val="14"/>
                <w:szCs w:val="14"/>
                <w:lang w:val="lv-LV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A5A1" w14:textId="77777777" w:rsidR="007E3B95" w:rsidRPr="00CB29EA" w:rsidRDefault="007E3B95" w:rsidP="007E3B95">
            <w:pPr>
              <w:widowControl w:val="0"/>
              <w:autoSpaceDE w:val="0"/>
              <w:autoSpaceDN w:val="0"/>
              <w:adjustRightInd w:val="0"/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</w:pPr>
            <w:r w:rsidRPr="00CB29EA"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  <w:t>Signet Bank AS</w:t>
            </w:r>
          </w:p>
          <w:p w14:paraId="55680C97" w14:textId="79FEF91C" w:rsidR="007E3B95" w:rsidRPr="00CB29EA" w:rsidRDefault="007E3B95" w:rsidP="007E3B95">
            <w:pPr>
              <w:rPr>
                <w:rFonts w:ascii="Times New Roman" w:hAnsi="Times New Roman"/>
                <w:sz w:val="14"/>
                <w:szCs w:val="14"/>
                <w:lang w:val="lv-LV"/>
              </w:rPr>
            </w:pPr>
            <w:r w:rsidRPr="00CB29EA"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  <w:t>LV40003076407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CD94B" w14:textId="4CACE534" w:rsidR="007E3B95" w:rsidRPr="00CB29EA" w:rsidRDefault="00383948" w:rsidP="007E3B95">
            <w:pPr>
              <w:widowControl w:val="0"/>
              <w:autoSpaceDE w:val="0"/>
              <w:autoSpaceDN w:val="0"/>
              <w:adjustRightInd w:val="0"/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</w:pPr>
            <w:r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  <w:t>Antonijas 3, Ri</w:t>
            </w:r>
            <w:r w:rsidR="007E3B95" w:rsidRPr="00CB29EA"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  <w:t>ga,</w:t>
            </w:r>
          </w:p>
          <w:p w14:paraId="13B7F2CC" w14:textId="5EC8D9F3" w:rsidR="007E3B95" w:rsidRPr="00CB29EA" w:rsidRDefault="007E3B95" w:rsidP="007E3B95">
            <w:pPr>
              <w:rPr>
                <w:rFonts w:ascii="Times New Roman" w:hAnsi="Times New Roman"/>
                <w:sz w:val="14"/>
                <w:szCs w:val="14"/>
                <w:lang w:val="lv-LV"/>
              </w:rPr>
            </w:pPr>
            <w:r w:rsidRPr="00CB29EA"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  <w:t>LV1010, Latvia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936F6" w14:textId="77777777" w:rsidR="007E3B95" w:rsidRPr="00CB29EA" w:rsidRDefault="007E3B95" w:rsidP="007E3B95">
            <w:pPr>
              <w:widowControl w:val="0"/>
              <w:autoSpaceDE w:val="0"/>
              <w:autoSpaceDN w:val="0"/>
              <w:adjustRightInd w:val="0"/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</w:pPr>
            <w:r w:rsidRPr="00CB29EA"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  <w:t>signetbank.com</w:t>
            </w:r>
          </w:p>
          <w:p w14:paraId="07EF946E" w14:textId="330E4F83" w:rsidR="007E3B95" w:rsidRPr="00CB29EA" w:rsidRDefault="007E3B95" w:rsidP="007E3B95">
            <w:pPr>
              <w:rPr>
                <w:rFonts w:ascii="Times New Roman" w:hAnsi="Times New Roman"/>
                <w:sz w:val="14"/>
                <w:szCs w:val="14"/>
                <w:lang w:val="lv-LV"/>
              </w:rPr>
            </w:pPr>
            <w:r w:rsidRPr="00CB29EA">
              <w:rPr>
                <w:rFonts w:ascii="Domaine Text" w:hAnsi="Domaine Text" w:cs="Domaine Text"/>
                <w:color w:val="B27E54"/>
                <w:sz w:val="14"/>
                <w:szCs w:val="14"/>
                <w:lang w:val="lv-LV"/>
              </w:rPr>
              <w:t>+371 67 080 000</w:t>
            </w:r>
          </w:p>
        </w:tc>
      </w:tr>
    </w:tbl>
    <w:p w14:paraId="53D4018B" w14:textId="4609E298" w:rsidR="00C75066" w:rsidRPr="00590DF4" w:rsidRDefault="00C75066" w:rsidP="00590DF4">
      <w:pPr>
        <w:rPr>
          <w:rFonts w:ascii="PT Serif" w:hAnsi="PT Serif"/>
          <w:sz w:val="14"/>
          <w:szCs w:val="14"/>
          <w:lang w:val="lv-LV"/>
        </w:rPr>
      </w:pPr>
    </w:p>
    <w:sectPr w:rsidR="00C75066" w:rsidRPr="00590DF4" w:rsidSect="000B5A3D">
      <w:footerReference w:type="default" r:id="rId9"/>
      <w:pgSz w:w="11900" w:h="16840"/>
      <w:pgMar w:top="567" w:right="1134" w:bottom="567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A00A" w14:textId="77777777" w:rsidR="00400B9A" w:rsidRDefault="00400B9A" w:rsidP="00545E23">
      <w:r>
        <w:separator/>
      </w:r>
    </w:p>
  </w:endnote>
  <w:endnote w:type="continuationSeparator" w:id="0">
    <w:p w14:paraId="74535DF8" w14:textId="77777777" w:rsidR="00400B9A" w:rsidRDefault="00400B9A" w:rsidP="0054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BA"/>
    <w:family w:val="roman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maine Text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7267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89439" w14:textId="3BCDAC15" w:rsidR="00163BAD" w:rsidRDefault="00163BAD">
        <w:pPr>
          <w:pStyle w:val="Footer"/>
        </w:pPr>
        <w:r w:rsidRPr="000B5A3D">
          <w:rPr>
            <w:rFonts w:ascii="PT Serif" w:hAnsi="PT Serif"/>
            <w:sz w:val="16"/>
            <w:szCs w:val="14"/>
          </w:rPr>
          <w:fldChar w:fldCharType="begin"/>
        </w:r>
        <w:r w:rsidRPr="000B5A3D">
          <w:rPr>
            <w:rFonts w:ascii="PT Serif" w:hAnsi="PT Serif"/>
            <w:sz w:val="16"/>
            <w:szCs w:val="14"/>
          </w:rPr>
          <w:instrText xml:space="preserve"> PAGE   \* MERGEFORMAT </w:instrText>
        </w:r>
        <w:r w:rsidRPr="000B5A3D">
          <w:rPr>
            <w:rFonts w:ascii="PT Serif" w:hAnsi="PT Serif"/>
            <w:sz w:val="16"/>
            <w:szCs w:val="14"/>
          </w:rPr>
          <w:fldChar w:fldCharType="separate"/>
        </w:r>
        <w:r w:rsidR="00383948" w:rsidRPr="000B5A3D">
          <w:rPr>
            <w:rFonts w:ascii="PT Serif" w:hAnsi="PT Serif"/>
            <w:noProof/>
            <w:sz w:val="16"/>
            <w:szCs w:val="14"/>
          </w:rPr>
          <w:t>3</w:t>
        </w:r>
        <w:r w:rsidRPr="000B5A3D">
          <w:rPr>
            <w:rFonts w:ascii="PT Serif" w:hAnsi="PT Serif"/>
            <w:noProof/>
            <w:sz w:val="16"/>
            <w:szCs w:val="14"/>
          </w:rPr>
          <w:fldChar w:fldCharType="end"/>
        </w:r>
      </w:p>
    </w:sdtContent>
  </w:sdt>
  <w:p w14:paraId="7BA7D911" w14:textId="77777777" w:rsidR="00163BAD" w:rsidRDefault="0016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707A" w14:textId="77777777" w:rsidR="00400B9A" w:rsidRDefault="00400B9A" w:rsidP="00545E23">
      <w:r>
        <w:separator/>
      </w:r>
    </w:p>
  </w:footnote>
  <w:footnote w:type="continuationSeparator" w:id="0">
    <w:p w14:paraId="27C55551" w14:textId="77777777" w:rsidR="00400B9A" w:rsidRDefault="00400B9A" w:rsidP="0054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9D1BDA"/>
    <w:multiLevelType w:val="multilevel"/>
    <w:tmpl w:val="6C100CE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 w:val="0"/>
      </w:rPr>
    </w:lvl>
  </w:abstractNum>
  <w:abstractNum w:abstractNumId="2" w15:restartNumberingAfterBreak="0">
    <w:nsid w:val="1C773ED1"/>
    <w:multiLevelType w:val="multilevel"/>
    <w:tmpl w:val="ECC03F16"/>
    <w:lvl w:ilvl="0">
      <w:start w:val="1"/>
      <w:numFmt w:val="decimal"/>
      <w:lvlText w:val="%1."/>
      <w:lvlJc w:val="left"/>
      <w:pPr>
        <w:ind w:left="390" w:hanging="390"/>
      </w:pPr>
      <w:rPr>
        <w:rFonts w:ascii="PT Serif" w:eastAsiaTheme="minorEastAsia" w:hAnsi="PT Serif" w:cstheme="minorBidi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A0A2FDC"/>
    <w:multiLevelType w:val="hybridMultilevel"/>
    <w:tmpl w:val="0F9C4AF2"/>
    <w:lvl w:ilvl="0" w:tplc="A47A7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222C"/>
    <w:multiLevelType w:val="multilevel"/>
    <w:tmpl w:val="1E4C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71"/>
    <w:rsid w:val="00081741"/>
    <w:rsid w:val="000B5A3D"/>
    <w:rsid w:val="000C54AF"/>
    <w:rsid w:val="000E1D6C"/>
    <w:rsid w:val="00160A77"/>
    <w:rsid w:val="00163BAD"/>
    <w:rsid w:val="001826BF"/>
    <w:rsid w:val="001B4E47"/>
    <w:rsid w:val="001B5504"/>
    <w:rsid w:val="001F3981"/>
    <w:rsid w:val="00202551"/>
    <w:rsid w:val="002115C1"/>
    <w:rsid w:val="002228B8"/>
    <w:rsid w:val="00224935"/>
    <w:rsid w:val="00261F24"/>
    <w:rsid w:val="0026247F"/>
    <w:rsid w:val="00295AB8"/>
    <w:rsid w:val="002A3724"/>
    <w:rsid w:val="002F59BB"/>
    <w:rsid w:val="00325F28"/>
    <w:rsid w:val="00331465"/>
    <w:rsid w:val="00383948"/>
    <w:rsid w:val="00395931"/>
    <w:rsid w:val="003C06B3"/>
    <w:rsid w:val="003F3EBC"/>
    <w:rsid w:val="00400B9A"/>
    <w:rsid w:val="0043502D"/>
    <w:rsid w:val="00452800"/>
    <w:rsid w:val="004559C6"/>
    <w:rsid w:val="004A67C1"/>
    <w:rsid w:val="004B6B7D"/>
    <w:rsid w:val="004D33D2"/>
    <w:rsid w:val="005150FD"/>
    <w:rsid w:val="005273AE"/>
    <w:rsid w:val="00545E23"/>
    <w:rsid w:val="005567A9"/>
    <w:rsid w:val="00590DF4"/>
    <w:rsid w:val="005D2BFC"/>
    <w:rsid w:val="005D6413"/>
    <w:rsid w:val="005F452E"/>
    <w:rsid w:val="00621A7A"/>
    <w:rsid w:val="0068767F"/>
    <w:rsid w:val="0069016B"/>
    <w:rsid w:val="006E2371"/>
    <w:rsid w:val="00755765"/>
    <w:rsid w:val="007C4C4F"/>
    <w:rsid w:val="007E3B95"/>
    <w:rsid w:val="007E6465"/>
    <w:rsid w:val="0084014B"/>
    <w:rsid w:val="00846238"/>
    <w:rsid w:val="00860BB9"/>
    <w:rsid w:val="008731B3"/>
    <w:rsid w:val="008C742F"/>
    <w:rsid w:val="0092467A"/>
    <w:rsid w:val="00937F0A"/>
    <w:rsid w:val="00952058"/>
    <w:rsid w:val="009723DE"/>
    <w:rsid w:val="0097301D"/>
    <w:rsid w:val="00980B89"/>
    <w:rsid w:val="009A342D"/>
    <w:rsid w:val="00A033F6"/>
    <w:rsid w:val="00A52241"/>
    <w:rsid w:val="00A82E0E"/>
    <w:rsid w:val="00BA3B87"/>
    <w:rsid w:val="00BA62C9"/>
    <w:rsid w:val="00BB45FE"/>
    <w:rsid w:val="00BD1A69"/>
    <w:rsid w:val="00C12028"/>
    <w:rsid w:val="00C3761C"/>
    <w:rsid w:val="00C44003"/>
    <w:rsid w:val="00C75066"/>
    <w:rsid w:val="00C83C18"/>
    <w:rsid w:val="00CB29EA"/>
    <w:rsid w:val="00D048E0"/>
    <w:rsid w:val="00DC30B7"/>
    <w:rsid w:val="00DC7F3C"/>
    <w:rsid w:val="00E57F00"/>
    <w:rsid w:val="00E6201C"/>
    <w:rsid w:val="00F43D80"/>
    <w:rsid w:val="00F61DFE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40DEAC"/>
  <w14:defaultImageDpi w14:val="300"/>
  <w15:docId w15:val="{623EBA21-34EC-4326-B746-AD2D5190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71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5E23"/>
    <w:rPr>
      <w:rFonts w:ascii="Times New Roman" w:eastAsia="Times New Roman" w:hAnsi="Times New Roman" w:cs="Times New Roman"/>
      <w:lang w:val="lv-LV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5E23"/>
    <w:rPr>
      <w:rFonts w:ascii="Times New Roman" w:eastAsia="Times New Roman" w:hAnsi="Times New Roman" w:cs="Times New Roman"/>
      <w:lang w:val="lv-LV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545E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17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7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7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1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7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AD"/>
  </w:style>
  <w:style w:type="paragraph" w:styleId="Footer">
    <w:name w:val="footer"/>
    <w:basedOn w:val="Normal"/>
    <w:link w:val="FooterChar"/>
    <w:uiPriority w:val="99"/>
    <w:unhideWhenUsed/>
    <w:rsid w:val="00163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99D1B-EA91-4B74-9F32-4EDA8C82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5435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Kintija Teilāne</cp:lastModifiedBy>
  <cp:revision>47</cp:revision>
  <cp:lastPrinted>2022-01-12T08:35:00Z</cp:lastPrinted>
  <dcterms:created xsi:type="dcterms:W3CDTF">2017-09-06T11:18:00Z</dcterms:created>
  <dcterms:modified xsi:type="dcterms:W3CDTF">2022-01-12T08:38:00Z</dcterms:modified>
</cp:coreProperties>
</file>